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A6" w:rsidRPr="00C13ECC" w:rsidRDefault="00C13ECC" w:rsidP="00C13ECC">
      <w:pPr>
        <w:jc w:val="center"/>
        <w:rPr>
          <w:rStyle w:val="two"/>
          <w:rFonts w:ascii="&amp;quot" w:hAnsi="&amp;quot"/>
          <w:color w:val="002060"/>
          <w:sz w:val="33"/>
          <w:szCs w:val="33"/>
          <w:bdr w:val="none" w:sz="0" w:space="0" w:color="auto" w:frame="1"/>
        </w:rPr>
      </w:pPr>
      <w:r w:rsidRPr="00C13ECC">
        <w:rPr>
          <w:rStyle w:val="one"/>
          <w:rFonts w:ascii="&amp;quot" w:hAnsi="&amp;quot"/>
          <w:b/>
          <w:bCs/>
          <w:caps/>
          <w:color w:val="002060"/>
          <w:sz w:val="33"/>
          <w:szCs w:val="33"/>
          <w:bdr w:val="none" w:sz="0" w:space="0" w:color="auto" w:frame="1"/>
        </w:rPr>
        <w:t>АО “Казахстанский институт развития индустрии”</w:t>
      </w:r>
    </w:p>
    <w:p w:rsidR="00C13ECC" w:rsidRDefault="00C13ECC" w:rsidP="00D233B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val="en-US"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>В целях аналитического обеспечения государственной политики индустриального развития в 2010 году постановлением Правительства Республики Казахстан № 508 «О создании акционерного общества «Казахстанский институт развития индустрии» создано Акционерное общество «Казахстанский институт развития индустрии».</w:t>
      </w:r>
    </w:p>
    <w:p w:rsidR="00D233B7" w:rsidRPr="00D233B7" w:rsidRDefault="00D233B7" w:rsidP="00D233B7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val="en-US" w:eastAsia="ru-RU"/>
        </w:rPr>
      </w:pPr>
    </w:p>
    <w:p w:rsidR="00A22F10" w:rsidRPr="00AC3015" w:rsidRDefault="00A22F10" w:rsidP="00D233B7">
      <w:pPr>
        <w:spacing w:after="0" w:line="240" w:lineRule="auto"/>
        <w:jc w:val="both"/>
        <w:rPr>
          <w:rFonts w:ascii="&amp;quot" w:eastAsia="Times New Roman" w:hAnsi="&amp;quot" w:cs="Times New Roman"/>
          <w:caps/>
          <w:sz w:val="41"/>
          <w:szCs w:val="41"/>
          <w:lang w:eastAsia="ru-RU"/>
        </w:rPr>
      </w:pPr>
      <w:r w:rsidRPr="00AC3015">
        <w:rPr>
          <w:rFonts w:ascii="&amp;quot" w:eastAsia="Times New Roman" w:hAnsi="&amp;quot" w:cs="Times New Roman"/>
          <w:caps/>
          <w:sz w:val="41"/>
          <w:szCs w:val="41"/>
          <w:lang w:eastAsia="ru-RU"/>
        </w:rPr>
        <w:t>Акционер</w:t>
      </w:r>
    </w:p>
    <w:p w:rsidR="00A22F10" w:rsidRPr="00D233B7" w:rsidRDefault="00A22F10" w:rsidP="00A22F1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>Единственным акционером АО «Казахстанский институт развития индустрии» является Министерство по инвестициям и развитию Республики Казахстан.</w:t>
      </w: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br/>
        <w:t>В соответствии с постановлением Правительства Республики Казахстан от 19 сентября 2014 года № 955 права владения и пользования государственным пакетом акций АО «КИРИ» в размере 100% переданы Министерству по инвестициям и развитию Республики Казахстан.</w:t>
      </w:r>
    </w:p>
    <w:p w:rsidR="00A22F10" w:rsidRPr="00D233B7" w:rsidRDefault="00A22F10" w:rsidP="00A22F10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p w:rsidR="00C13ECC" w:rsidRPr="00AC3015" w:rsidRDefault="00C13ECC" w:rsidP="00A22F10">
      <w:pPr>
        <w:spacing w:after="0" w:line="240" w:lineRule="auto"/>
        <w:jc w:val="both"/>
        <w:textAlignment w:val="baseline"/>
        <w:outlineLvl w:val="0"/>
        <w:rPr>
          <w:rFonts w:ascii="&amp;quot" w:eastAsia="Times New Roman" w:hAnsi="&amp;quot" w:cs="Times New Roman"/>
          <w:caps/>
          <w:kern w:val="36"/>
          <w:sz w:val="41"/>
          <w:szCs w:val="41"/>
          <w:lang w:eastAsia="ru-RU"/>
        </w:rPr>
      </w:pPr>
      <w:r w:rsidRPr="00AC3015">
        <w:rPr>
          <w:rFonts w:ascii="&amp;quot" w:eastAsia="Times New Roman" w:hAnsi="&amp;quot" w:cs="Times New Roman"/>
          <w:caps/>
          <w:kern w:val="36"/>
          <w:sz w:val="41"/>
          <w:szCs w:val="41"/>
          <w:lang w:eastAsia="ru-RU"/>
        </w:rPr>
        <w:t>основные направления деятельности</w:t>
      </w:r>
    </w:p>
    <w:p w:rsidR="00C13ECC" w:rsidRPr="00AC3015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Участие в разработке, сопровождение, мониторинг и оценка реализации программ индустриального развития; </w:t>
      </w:r>
    </w:p>
    <w:p w:rsidR="00C13ECC" w:rsidRPr="00AC3015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Разработка Единой карты приоритетных товаров и услуг; </w:t>
      </w:r>
    </w:p>
    <w:p w:rsidR="00C13ECC" w:rsidRPr="00AC3015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Формирование и развитие отраслевых компетенций по отраслям обрабатывающей промышленности; </w:t>
      </w:r>
    </w:p>
    <w:p w:rsidR="00C13ECC" w:rsidRPr="00AC3015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Исследование интеграционных процессов промышленности Казахстана; </w:t>
      </w:r>
    </w:p>
    <w:p w:rsidR="00C13ECC" w:rsidRPr="00AC3015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Проведение системного анализа мирового опыта промышленных политик; </w:t>
      </w:r>
    </w:p>
    <w:p w:rsidR="00C13ECC" w:rsidRPr="00AC3015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Рассмотрение региональных аспектов промышленной политики, оценка инвестиционных проектов; </w:t>
      </w:r>
    </w:p>
    <w:p w:rsidR="00C13ECC" w:rsidRPr="00AC3015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Формирование политики развития территориальных кластеров; </w:t>
      </w:r>
    </w:p>
    <w:p w:rsidR="00C13ECC" w:rsidRPr="00D233B7" w:rsidRDefault="00C13ECC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Выполнение функций оператора Программы «Производительность - 2020». </w:t>
      </w:r>
    </w:p>
    <w:p w:rsidR="00AC3015" w:rsidRPr="00D233B7" w:rsidRDefault="00AC3015" w:rsidP="00C13ECC">
      <w:pPr>
        <w:spacing w:after="0" w:line="326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</w:p>
    <w:tbl>
      <w:tblPr>
        <w:tblStyle w:val="-5"/>
        <w:tblW w:w="0" w:type="auto"/>
        <w:tblLook w:val="04A0"/>
      </w:tblPr>
      <w:tblGrid>
        <w:gridCol w:w="576"/>
        <w:gridCol w:w="3638"/>
        <w:gridCol w:w="1800"/>
        <w:gridCol w:w="4124"/>
      </w:tblGrid>
      <w:tr w:rsidR="00AC3015" w:rsidRPr="00D233B7" w:rsidTr="00D233B7">
        <w:trPr>
          <w:cnfStyle w:val="10000000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1000000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Меры государственной поддержки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1000000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Возмещение затрат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1000000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Условия предоставления государственной поддержки</w:t>
            </w:r>
          </w:p>
        </w:tc>
      </w:tr>
      <w:tr w:rsidR="00AC3015" w:rsidRPr="00D233B7" w:rsidTr="00D233B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Возмещение затрат за разработку и/или экспертизу комплексного плана инвестиционного проекта:</w:t>
            </w:r>
          </w:p>
        </w:tc>
      </w:tr>
      <w:tr w:rsidR="00AC3015" w:rsidRPr="00D233B7" w:rsidTr="00D233B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 разработке комплексного плана инвестиционного проекта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но не более 2 млн. тенге</w:t>
            </w:r>
          </w:p>
        </w:tc>
      </w:tr>
      <w:tr w:rsidR="00AC3015" w:rsidRPr="00D233B7" w:rsidTr="00D233B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 разработке и экспертизе ТЭО проектов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но не более 15 млн. тенге</w:t>
            </w:r>
          </w:p>
        </w:tc>
      </w:tr>
      <w:tr w:rsidR="00AC3015" w:rsidRPr="00D233B7" w:rsidTr="00D233B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Возмещение затрат по повышению компетенции предприятия:</w:t>
            </w:r>
          </w:p>
        </w:tc>
      </w:tr>
      <w:tr w:rsidR="00AC3015" w:rsidRPr="00D233B7" w:rsidTr="00D233B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 подготовке и переподготовке кадров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не более 2 млн. тенге на 1 сотрудника, не более 15 сотрудников/год</w:t>
            </w:r>
          </w:p>
        </w:tc>
      </w:tr>
      <w:tr w:rsidR="00AC3015" w:rsidRPr="00D233B7" w:rsidTr="00D233B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 привлечения экспертов для внедрении лучших практик</w:t>
            </w:r>
            <w:proofErr w:type="gramEnd"/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не более 9 млн. тенге на 1 специалиста в год, не более 3 специалистов в год</w:t>
            </w:r>
          </w:p>
        </w:tc>
      </w:tr>
      <w:tr w:rsidR="00AC3015" w:rsidRPr="00D233B7" w:rsidTr="00D233B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Возмещение затрат на совершенствование технологических процессов</w:t>
            </w:r>
          </w:p>
        </w:tc>
      </w:tr>
      <w:tr w:rsidR="00AC3015" w:rsidRPr="00D233B7" w:rsidTr="00D233B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 проведении технической диагностики предприятий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не более 8 млн. тенге для МСБ, не более 16 млн. тенге для крупных предприятий</w:t>
            </w:r>
          </w:p>
        </w:tc>
      </w:tr>
      <w:tr w:rsidR="00AC3015" w:rsidRPr="00D233B7" w:rsidTr="00D233B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proofErr w:type="gramStart"/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</w:t>
            </w:r>
            <w:proofErr w:type="gramEnd"/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 xml:space="preserve"> совершенствование технологических процессов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но не более 30 млн. тенге</w:t>
            </w:r>
          </w:p>
        </w:tc>
      </w:tr>
      <w:tr w:rsidR="00AC3015" w:rsidRPr="00D233B7" w:rsidTr="00D233B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gridSpan w:val="3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b/>
                <w:bCs/>
                <w:color w:val="244061" w:themeColor="accent1" w:themeShade="80"/>
                <w:sz w:val="24"/>
                <w:szCs w:val="24"/>
                <w:lang w:eastAsia="ru-RU"/>
              </w:rPr>
              <w:t>Возмещение затрат на повышение эффективности организации производства</w:t>
            </w:r>
          </w:p>
        </w:tc>
      </w:tr>
      <w:tr w:rsidR="00AC3015" w:rsidRPr="00D233B7" w:rsidTr="00D233B7">
        <w:trPr>
          <w:cnfStyle w:val="00000010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 разработке плана эффективности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10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но не более 5 млн. тенге</w:t>
            </w:r>
          </w:p>
        </w:tc>
      </w:tr>
      <w:tr w:rsidR="00AC3015" w:rsidRPr="00D233B7" w:rsidTr="00D233B7">
        <w:trPr>
          <w:cnfStyle w:val="000000010000"/>
        </w:trPr>
        <w:tc>
          <w:tcPr>
            <w:cnfStyle w:val="001000000000"/>
            <w:tcW w:w="0" w:type="auto"/>
            <w:hideMark/>
          </w:tcPr>
          <w:p w:rsidR="00AC3015" w:rsidRPr="00D233B7" w:rsidRDefault="00AC3015" w:rsidP="002A0B77">
            <w:pPr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при реализации плана эффективности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0" w:type="auto"/>
            <w:hideMark/>
          </w:tcPr>
          <w:p w:rsidR="00AC3015" w:rsidRPr="00D233B7" w:rsidRDefault="00AC3015" w:rsidP="002A0B77">
            <w:pPr>
              <w:cnfStyle w:val="000000010000"/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color w:val="244061" w:themeColor="accent1" w:themeShade="80"/>
                <w:sz w:val="24"/>
                <w:szCs w:val="24"/>
                <w:lang w:eastAsia="ru-RU"/>
              </w:rPr>
              <w:t>но не более 15 млн. тенге</w:t>
            </w:r>
          </w:p>
        </w:tc>
      </w:tr>
    </w:tbl>
    <w:p w:rsidR="00C13ECC" w:rsidRPr="00AC3015" w:rsidRDefault="00C13ECC" w:rsidP="00A22F10">
      <w:pPr>
        <w:spacing w:after="0" w:line="240" w:lineRule="auto"/>
        <w:jc w:val="center"/>
        <w:rPr>
          <w:rFonts w:ascii="&amp;quot" w:hAnsi="&amp;quot"/>
          <w:b/>
          <w:bCs/>
          <w:caps/>
          <w:sz w:val="41"/>
          <w:szCs w:val="41"/>
        </w:rPr>
      </w:pPr>
      <w:r w:rsidRPr="00AC301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C3015">
        <w:rPr>
          <w:rFonts w:ascii="&amp;quot" w:hAnsi="&amp;quot"/>
          <w:caps/>
          <w:sz w:val="41"/>
          <w:szCs w:val="41"/>
        </w:rPr>
        <w:t>Возмещение затрат на повышение эффективности организации производства</w:t>
      </w:r>
    </w:p>
    <w:p w:rsidR="00C13ECC" w:rsidRPr="00AC3015" w:rsidRDefault="00C13ECC" w:rsidP="00C13ECC">
      <w:pPr>
        <w:pStyle w:val="a3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</w:rPr>
      </w:pPr>
      <w:r w:rsidRPr="00AC3015">
        <w:rPr>
          <w:rFonts w:ascii="&amp;quot" w:hAnsi="&amp;quot"/>
        </w:rPr>
        <w:t xml:space="preserve">Для рассмотрения допускаются </w:t>
      </w:r>
      <w:r w:rsidR="00B6296F" w:rsidRPr="00AC3015">
        <w:rPr>
          <w:rFonts w:ascii="&amp;quot" w:hAnsi="&amp;quot"/>
        </w:rPr>
        <w:t>заявки субъектов индустриально-</w:t>
      </w:r>
      <w:r w:rsidRPr="00AC3015">
        <w:rPr>
          <w:rFonts w:ascii="&amp;quot" w:hAnsi="&amp;quot"/>
        </w:rPr>
        <w:t xml:space="preserve">инновационной деятельности, осуществляющие деятельность в </w:t>
      </w:r>
      <w:r w:rsidRPr="00AC3015">
        <w:rPr>
          <w:rStyle w:val="a4"/>
          <w:rFonts w:ascii="&amp;quot" w:hAnsi="&amp;quot"/>
          <w:b w:val="0"/>
          <w:bCs w:val="0"/>
          <w:bdr w:val="none" w:sz="0" w:space="0" w:color="auto" w:frame="1"/>
        </w:rPr>
        <w:t>приоритетных секторах экономики</w:t>
      </w:r>
      <w:r w:rsidRPr="00AC3015">
        <w:rPr>
          <w:rFonts w:ascii="&amp;quot" w:hAnsi="&amp;quot"/>
        </w:rPr>
        <w:t xml:space="preserve">, указанных в Перечне, </w:t>
      </w:r>
      <w:r w:rsidRPr="00AC3015">
        <w:rPr>
          <w:rStyle w:val="a4"/>
          <w:rFonts w:ascii="&amp;quot" w:hAnsi="&amp;quot"/>
          <w:b w:val="0"/>
          <w:bCs w:val="0"/>
          <w:bdr w:val="none" w:sz="0" w:space="0" w:color="auto" w:frame="1"/>
        </w:rPr>
        <w:t>не менее 1 (одного) года</w:t>
      </w:r>
    </w:p>
    <w:p w:rsidR="00C13ECC" w:rsidRPr="00AC3015" w:rsidRDefault="00C13ECC" w:rsidP="00C13ECC">
      <w:pPr>
        <w:pStyle w:val="a3"/>
        <w:spacing w:before="0" w:beforeAutospacing="0" w:after="0" w:afterAutospacing="0" w:line="315" w:lineRule="atLeast"/>
        <w:jc w:val="both"/>
        <w:textAlignment w:val="baseline"/>
        <w:rPr>
          <w:rFonts w:ascii="&amp;quot" w:hAnsi="&amp;quot"/>
        </w:rPr>
      </w:pPr>
      <w:r w:rsidRPr="00AC3015">
        <w:rPr>
          <w:rStyle w:val="a4"/>
          <w:rFonts w:ascii="&amp;quot" w:hAnsi="&amp;quot"/>
          <w:b w:val="0"/>
          <w:bCs w:val="0"/>
          <w:bdr w:val="none" w:sz="0" w:space="0" w:color="auto" w:frame="1"/>
        </w:rPr>
        <w:t>Перечень приоритетных секторов экономики</w:t>
      </w:r>
      <w:r w:rsidRPr="00AC3015">
        <w:rPr>
          <w:rFonts w:ascii="&amp;quot" w:hAnsi="&amp;quot"/>
        </w:rPr>
        <w:t xml:space="preserve"> закреплен в приложении 1 к Правилам предоставления государственной поддержки субъектам индустриально-инновационной деятельности, направленной на повышение производительности труда и развитие территориальных кластеров и включает в себя:</w:t>
      </w:r>
    </w:p>
    <w:tbl>
      <w:tblPr>
        <w:tblW w:w="8939" w:type="dxa"/>
        <w:tblCellMar>
          <w:left w:w="0" w:type="dxa"/>
          <w:right w:w="0" w:type="dxa"/>
        </w:tblCellMar>
        <w:tblLook w:val="04A0"/>
      </w:tblPr>
      <w:tblGrid>
        <w:gridCol w:w="1993"/>
        <w:gridCol w:w="6946"/>
      </w:tblGrid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DEDED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Код общего классификатора экономической деятельности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DEDED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Производство продуктов питания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11.07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минеральных вод и других </w:t>
            </w:r>
            <w:proofErr w:type="spellStart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безалкагольных</w:t>
            </w:r>
            <w:proofErr w:type="spellEnd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напитков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Горнодобывающая промышленность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Технические услуги в области горнодобывающей промышленности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09.1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Технические услуги в области добычи нефти и природного газа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Техническая поддержка при добыче нефти и природного газа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09.9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Техническая поддержка для прочих областей горнодобывающей промышленности и подземной разработки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Легкая и деревообрабатывающая промышленность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текстильных изделий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одежды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кожаной и относящейся к ней продукции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деревянных и пробковых изделий, кроме мебели, производство изделий из соломки и материалов для плетения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бумаги и бумажной продукции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мебели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Химическая и фармацевтическая промышленность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продуктов нефтепереработки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продуктов химической промышленности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основных фармацевтических продуктов и препаратов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proofErr w:type="spellStart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Произовдство</w:t>
            </w:r>
            <w:proofErr w:type="spellEnd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резиновых и пластмассовых изделий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строительных материалов и прочей не </w:t>
            </w: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 xml:space="preserve">металлической минеральной продукции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прочей не металлической минеральной продукции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Металлургия, металлообработка, машиностроение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Металлургическая промышленность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компьютеров, электронной и оптической продукции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электрического оборудования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машин и оборудования, не включенных в другие категории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автотранспортных </w:t>
            </w:r>
            <w:proofErr w:type="spellStart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сердств</w:t>
            </w:r>
            <w:proofErr w:type="spellEnd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трейлеров и полуприцепов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прочих </w:t>
            </w:r>
            <w:proofErr w:type="spellStart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траспортных</w:t>
            </w:r>
            <w:proofErr w:type="spellEnd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средств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proofErr w:type="spellStart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Ремнот</w:t>
            </w:r>
            <w:proofErr w:type="spellEnd"/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и установка машин и оборудования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33.1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Ремонт готовых металлических изделий, машин и оборудования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Монтаж промышленной техники и оборудования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Другие сектора промышленности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прочих готовых изделий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35.11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Производство электроэнергии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38.21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Обработка и удаление неопасных отходов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38.32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Утилизация отсортированных материалов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Транспорт и складирование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Водный транспорт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Воздушный транспорт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Складское хозяйство и вспомогательная транспортная деятельность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nil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DEDEDE"/>
              <w:left w:val="nil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Информация и связь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Связь </w:t>
            </w:r>
          </w:p>
        </w:tc>
      </w:tr>
      <w:tr w:rsidR="00C13ECC" w:rsidRPr="00D233B7" w:rsidTr="00C13ECC">
        <w:tc>
          <w:tcPr>
            <w:tcW w:w="1993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C13ECC" w:rsidRPr="00D233B7" w:rsidRDefault="00C13ECC" w:rsidP="00C13ECC">
            <w:pPr>
              <w:spacing w:after="0" w:line="312" w:lineRule="atLeast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D233B7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Компьютерное программирование, консультации и другие сопутствующие услуги </w:t>
            </w:r>
          </w:p>
        </w:tc>
      </w:tr>
    </w:tbl>
    <w:p w:rsidR="00D233B7" w:rsidRPr="00D233B7" w:rsidRDefault="00D233B7" w:rsidP="00C13ECC">
      <w:pPr>
        <w:spacing w:after="0" w:line="486" w:lineRule="atLeast"/>
        <w:jc w:val="center"/>
        <w:textAlignment w:val="baseline"/>
        <w:outlineLvl w:val="0"/>
        <w:rPr>
          <w:rFonts w:ascii="&amp;quot" w:eastAsia="Times New Roman" w:hAnsi="&amp;quot" w:cs="Times New Roman"/>
          <w:caps/>
          <w:kern w:val="36"/>
          <w:sz w:val="41"/>
          <w:szCs w:val="41"/>
          <w:lang w:val="en-US" w:eastAsia="ru-RU"/>
        </w:rPr>
      </w:pPr>
    </w:p>
    <w:p w:rsidR="00C13ECC" w:rsidRPr="00AC3015" w:rsidRDefault="00C13ECC" w:rsidP="00C13ECC">
      <w:pPr>
        <w:spacing w:after="0" w:line="486" w:lineRule="atLeast"/>
        <w:jc w:val="center"/>
        <w:textAlignment w:val="baseline"/>
        <w:outlineLvl w:val="0"/>
        <w:rPr>
          <w:rFonts w:ascii="&amp;quot" w:eastAsia="Times New Roman" w:hAnsi="&amp;quot" w:cs="Times New Roman"/>
          <w:caps/>
          <w:kern w:val="36"/>
          <w:sz w:val="41"/>
          <w:szCs w:val="41"/>
          <w:lang w:eastAsia="ru-RU"/>
        </w:rPr>
      </w:pPr>
      <w:r w:rsidRPr="00AC3015">
        <w:rPr>
          <w:rFonts w:ascii="&amp;quot" w:eastAsia="Times New Roman" w:hAnsi="&amp;quot" w:cs="Times New Roman"/>
          <w:caps/>
          <w:kern w:val="36"/>
          <w:sz w:val="41"/>
          <w:szCs w:val="41"/>
          <w:lang w:eastAsia="ru-RU"/>
        </w:rPr>
        <w:t>МЕХАНИЗМ ПРЕДОСТАВЛЕНИЯ МЕР ГОСУДАРСТВЕННОЙ ПОДДЕРЖКИ</w:t>
      </w:r>
    </w:p>
    <w:p w:rsidR="00C13ECC" w:rsidRPr="00AC3015" w:rsidRDefault="00C13ECC" w:rsidP="00C13EC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>Субъект предпринимательства, осуществляющий деятельность в приоритетном секторе экономики (Заявитель), подает заявку на получение инструмента в АО «КИРИ».</w:t>
      </w:r>
    </w:p>
    <w:p w:rsidR="00C13ECC" w:rsidRPr="00AC3015" w:rsidRDefault="00C13ECC" w:rsidP="00C13EC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>АО «КИРИ» в течение 3 рабочих дней рассматривает заявку и прилагаемые к ней документы на их полноту, согласно установленным требованиям</w:t>
      </w:r>
    </w:p>
    <w:p w:rsidR="00C13ECC" w:rsidRPr="00AC3015" w:rsidRDefault="00C13ECC" w:rsidP="00C13ECC">
      <w:pPr>
        <w:spacing w:after="0" w:line="240" w:lineRule="auto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>АО «КИРИ» при полноте документов в течение 7 рабочих дней осуществляет проверку на предмет соответствия требованиям Правил и принимает решение о возможности или невозможности затрат.</w:t>
      </w:r>
    </w:p>
    <w:p w:rsidR="00C13ECC" w:rsidRPr="00AC3015" w:rsidRDefault="00C13ECC" w:rsidP="00C13ECC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>АО «КИРИ» в течение 2 рабочих дней со дня принятия решения о возможности возмещения направляет Заявителю Соглашение на подписание</w:t>
      </w:r>
    </w:p>
    <w:p w:rsidR="00563A1D" w:rsidRPr="00AC3015" w:rsidRDefault="00C13ECC" w:rsidP="00563A1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>АО «КИРИ» в течение 5 рабочих дней после дня заключения Соглашения возмещает затраты Заявителю.</w:t>
      </w:r>
      <w:r w:rsidR="00563A1D"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</w:t>
      </w:r>
    </w:p>
    <w:p w:rsidR="00C13ECC" w:rsidRPr="00AC3015" w:rsidRDefault="00563A1D" w:rsidP="00563A1D">
      <w:pPr>
        <w:spacing w:after="0" w:line="315" w:lineRule="atLeast"/>
        <w:jc w:val="both"/>
        <w:textAlignment w:val="baseline"/>
        <w:rPr>
          <w:rFonts w:ascii="&amp;quot" w:eastAsia="Times New Roman" w:hAnsi="&amp;quot" w:cs="Times New Roman"/>
          <w:sz w:val="24"/>
          <w:szCs w:val="24"/>
          <w:u w:val="single"/>
          <w:lang w:eastAsia="ru-RU"/>
        </w:rPr>
      </w:pPr>
      <w:r w:rsidRPr="00AC3015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Ссылка на сайт: </w:t>
      </w:r>
      <w:hyperlink r:id="rId4" w:history="1">
        <w:r w:rsidR="00B6296F" w:rsidRPr="00A22F10">
          <w:rPr>
            <w:rStyle w:val="a5"/>
            <w:rFonts w:ascii="&amp;quot" w:eastAsia="Times New Roman" w:hAnsi="&amp;quot" w:cs="Times New Roman"/>
            <w:color w:val="0070C0"/>
            <w:sz w:val="24"/>
            <w:szCs w:val="24"/>
            <w:lang w:eastAsia="ru-RU"/>
          </w:rPr>
          <w:t>http://kidi.gov.kz/</w:t>
        </w:r>
      </w:hyperlink>
    </w:p>
    <w:sectPr w:rsidR="00C13ECC" w:rsidRPr="00AC3015" w:rsidSect="00D233B7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3ECC"/>
    <w:rsid w:val="004B38BC"/>
    <w:rsid w:val="00563A1D"/>
    <w:rsid w:val="007C081E"/>
    <w:rsid w:val="007F26A6"/>
    <w:rsid w:val="00890CCA"/>
    <w:rsid w:val="00A22F10"/>
    <w:rsid w:val="00AC3015"/>
    <w:rsid w:val="00B6296F"/>
    <w:rsid w:val="00C13ECC"/>
    <w:rsid w:val="00D2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6"/>
  </w:style>
  <w:style w:type="paragraph" w:styleId="1">
    <w:name w:val="heading 1"/>
    <w:basedOn w:val="a"/>
    <w:link w:val="10"/>
    <w:uiPriority w:val="9"/>
    <w:qFormat/>
    <w:rsid w:val="00C13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">
    <w:name w:val="one"/>
    <w:basedOn w:val="a0"/>
    <w:rsid w:val="00C13ECC"/>
  </w:style>
  <w:style w:type="character" w:customStyle="1" w:styleId="two">
    <w:name w:val="two"/>
    <w:basedOn w:val="a0"/>
    <w:rsid w:val="00C13ECC"/>
  </w:style>
  <w:style w:type="character" w:customStyle="1" w:styleId="10">
    <w:name w:val="Заголовок 1 Знак"/>
    <w:basedOn w:val="a0"/>
    <w:link w:val="1"/>
    <w:uiPriority w:val="9"/>
    <w:rsid w:val="00C13E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C1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ECC"/>
    <w:rPr>
      <w:b/>
      <w:bCs/>
    </w:rPr>
  </w:style>
  <w:style w:type="character" w:styleId="a5">
    <w:name w:val="Hyperlink"/>
    <w:basedOn w:val="a0"/>
    <w:uiPriority w:val="99"/>
    <w:unhideWhenUsed/>
    <w:rsid w:val="00B6296F"/>
    <w:rPr>
      <w:color w:val="0000FF" w:themeColor="hyperlink"/>
      <w:u w:val="single"/>
    </w:rPr>
  </w:style>
  <w:style w:type="table" w:styleId="1-5">
    <w:name w:val="Medium Shading 1 Accent 5"/>
    <w:basedOn w:val="a1"/>
    <w:uiPriority w:val="63"/>
    <w:rsid w:val="00D23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D233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di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2018-05-02T06:28:00Z</dcterms:created>
  <dcterms:modified xsi:type="dcterms:W3CDTF">2018-05-29T11:59:00Z</dcterms:modified>
</cp:coreProperties>
</file>